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2DD" w:rsidRDefault="00B642DD" w:rsidP="00B642DD">
      <w:pPr>
        <w:tabs>
          <w:tab w:val="left" w:pos="10206"/>
        </w:tabs>
        <w:spacing w:after="0" w:line="276" w:lineRule="auto"/>
        <w:jc w:val="right"/>
      </w:pPr>
    </w:p>
    <w:p w:rsidR="00B642DD" w:rsidRDefault="00B642DD" w:rsidP="00B642DD">
      <w:pPr>
        <w:tabs>
          <w:tab w:val="left" w:pos="10206"/>
        </w:tabs>
        <w:spacing w:after="20" w:line="276" w:lineRule="auto"/>
      </w:pPr>
      <w:r>
        <w:rPr>
          <w:rFonts w:ascii="Arial" w:eastAsia="Arial" w:hAnsi="Arial" w:cs="Arial"/>
          <w:b/>
          <w:sz w:val="24"/>
        </w:rPr>
        <w:t xml:space="preserve"> </w:t>
      </w:r>
    </w:p>
    <w:p w:rsidR="00B642DD" w:rsidRDefault="00B642DD" w:rsidP="00B642DD">
      <w:pPr>
        <w:tabs>
          <w:tab w:val="left" w:pos="10206"/>
        </w:tabs>
        <w:spacing w:after="0" w:line="276" w:lineRule="auto"/>
        <w:ind w:left="10" w:hanging="10"/>
      </w:pPr>
      <w:r>
        <w:rPr>
          <w:rFonts w:ascii="Arial" w:eastAsia="Arial" w:hAnsi="Arial" w:cs="Arial"/>
          <w:b/>
          <w:sz w:val="24"/>
          <w:u w:val="single" w:color="000000"/>
        </w:rPr>
        <w:t>Parametry do kosztorysowania w przypadku Usług Awaryjnych i Naprawczych</w:t>
      </w:r>
      <w:r>
        <w:rPr>
          <w:rFonts w:ascii="Arial" w:eastAsia="Arial" w:hAnsi="Arial" w:cs="Arial"/>
          <w:b/>
          <w:sz w:val="24"/>
        </w:rPr>
        <w:t xml:space="preserve"> </w:t>
      </w:r>
    </w:p>
    <w:p w:rsidR="00B642DD" w:rsidRDefault="00B642DD" w:rsidP="00B642DD">
      <w:pPr>
        <w:tabs>
          <w:tab w:val="left" w:pos="10206"/>
        </w:tabs>
        <w:spacing w:after="0" w:line="276" w:lineRule="auto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642DD" w:rsidRDefault="00B642DD" w:rsidP="00B642DD">
      <w:pPr>
        <w:tabs>
          <w:tab w:val="left" w:pos="10206"/>
        </w:tabs>
        <w:spacing w:after="120" w:line="276" w:lineRule="auto"/>
      </w:pPr>
      <w:r>
        <w:rPr>
          <w:rFonts w:ascii="Arial" w:eastAsia="Arial" w:hAnsi="Arial" w:cs="Arial"/>
        </w:rPr>
        <w:t xml:space="preserve"> </w:t>
      </w:r>
    </w:p>
    <w:p w:rsidR="00B642DD" w:rsidRDefault="00347DD5" w:rsidP="00B642DD">
      <w:pPr>
        <w:tabs>
          <w:tab w:val="left" w:pos="10206"/>
        </w:tabs>
        <w:spacing w:after="113" w:line="276" w:lineRule="auto"/>
        <w:ind w:left="-5" w:right="60" w:hanging="10"/>
        <w:jc w:val="both"/>
        <w:rPr>
          <w:rFonts w:ascii="Arial" w:eastAsia="Arial" w:hAnsi="Arial" w:cs="Arial"/>
          <w:b/>
        </w:rPr>
      </w:pPr>
      <w:r w:rsidRPr="00347DD5">
        <w:rPr>
          <w:rFonts w:ascii="Arial" w:eastAsia="Arial" w:hAnsi="Arial" w:cs="Arial"/>
          <w:b/>
        </w:rPr>
        <w:t xml:space="preserve">AWARYJNE </w:t>
      </w:r>
      <w:r>
        <w:rPr>
          <w:rFonts w:ascii="Arial" w:eastAsia="Arial" w:hAnsi="Arial" w:cs="Arial"/>
          <w:b/>
        </w:rPr>
        <w:t xml:space="preserve"> </w:t>
      </w:r>
      <w:r w:rsidRPr="00347DD5">
        <w:rPr>
          <w:rFonts w:ascii="Arial" w:eastAsia="Arial" w:hAnsi="Arial" w:cs="Arial"/>
          <w:b/>
        </w:rPr>
        <w:t xml:space="preserve">-        </w:t>
      </w:r>
      <w:r w:rsidR="00B642DD" w:rsidRPr="00347DD5">
        <w:rPr>
          <w:rFonts w:ascii="Arial" w:eastAsia="Arial" w:hAnsi="Arial" w:cs="Arial"/>
          <w:b/>
        </w:rPr>
        <w:t>R - .…;  Kp - ….%; Kz - ….%, Z - ….%</w:t>
      </w:r>
      <w:r w:rsidR="00B642DD">
        <w:rPr>
          <w:rFonts w:ascii="Arial" w:eastAsia="Arial" w:hAnsi="Arial" w:cs="Arial"/>
          <w:b/>
        </w:rPr>
        <w:t xml:space="preserve"> </w:t>
      </w:r>
    </w:p>
    <w:p w:rsidR="00347DD5" w:rsidRDefault="00347DD5" w:rsidP="00B642DD">
      <w:pPr>
        <w:tabs>
          <w:tab w:val="left" w:pos="10206"/>
        </w:tabs>
        <w:spacing w:after="113" w:line="276" w:lineRule="auto"/>
        <w:ind w:left="-5" w:right="60" w:hanging="10"/>
        <w:jc w:val="both"/>
      </w:pPr>
      <w:r>
        <w:rPr>
          <w:rFonts w:ascii="Arial" w:eastAsia="Arial" w:hAnsi="Arial" w:cs="Arial"/>
          <w:b/>
        </w:rPr>
        <w:t xml:space="preserve">NAPRAWCZE   </w:t>
      </w:r>
      <w:bookmarkStart w:id="0" w:name="_GoBack"/>
      <w:bookmarkEnd w:id="0"/>
      <w:r>
        <w:rPr>
          <w:rFonts w:ascii="Arial" w:eastAsia="Arial" w:hAnsi="Arial" w:cs="Arial"/>
          <w:b/>
        </w:rPr>
        <w:t xml:space="preserve">-     </w:t>
      </w:r>
      <w:r w:rsidRPr="00347DD5">
        <w:rPr>
          <w:rFonts w:ascii="Arial" w:eastAsia="Arial" w:hAnsi="Arial" w:cs="Arial"/>
          <w:b/>
        </w:rPr>
        <w:t>R - .…;  Kp - ….%; Kz - ….%, Z - ….%</w:t>
      </w:r>
    </w:p>
    <w:p w:rsidR="00B642DD" w:rsidRDefault="00B642DD" w:rsidP="00B642DD">
      <w:pPr>
        <w:tabs>
          <w:tab w:val="left" w:pos="10206"/>
        </w:tabs>
        <w:spacing w:after="22" w:line="276" w:lineRule="auto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642DD" w:rsidRDefault="00B642DD" w:rsidP="00B642DD">
      <w:pPr>
        <w:tabs>
          <w:tab w:val="left" w:pos="10206"/>
        </w:tabs>
        <w:spacing w:after="5" w:line="276" w:lineRule="auto"/>
        <w:ind w:left="-5" w:hanging="10"/>
      </w:pPr>
      <w:r>
        <w:rPr>
          <w:rFonts w:ascii="Arial" w:eastAsia="Arial" w:hAnsi="Arial" w:cs="Arial"/>
          <w:b/>
          <w:sz w:val="24"/>
        </w:rPr>
        <w:t xml:space="preserve">Zasady sporządzania kosztorysu </w:t>
      </w:r>
    </w:p>
    <w:p w:rsidR="00B642DD" w:rsidRDefault="00B642DD" w:rsidP="00B642DD">
      <w:pPr>
        <w:tabs>
          <w:tab w:val="left" w:pos="10206"/>
        </w:tabs>
        <w:spacing w:after="0" w:line="276" w:lineRule="auto"/>
      </w:pPr>
      <w:r>
        <w:rPr>
          <w:rFonts w:ascii="Arial" w:eastAsia="Arial" w:hAnsi="Arial" w:cs="Arial"/>
          <w:b/>
          <w:sz w:val="24"/>
        </w:rPr>
        <w:t xml:space="preserve"> </w:t>
      </w:r>
    </w:p>
    <w:p w:rsidR="00B642DD" w:rsidRDefault="00B642DD" w:rsidP="00B642DD">
      <w:pPr>
        <w:numPr>
          <w:ilvl w:val="0"/>
          <w:numId w:val="1"/>
        </w:numPr>
        <w:tabs>
          <w:tab w:val="left" w:pos="10206"/>
        </w:tabs>
        <w:spacing w:after="5" w:line="276" w:lineRule="auto"/>
        <w:ind w:right="60" w:hanging="283"/>
        <w:jc w:val="both"/>
      </w:pPr>
      <w:r>
        <w:rPr>
          <w:rFonts w:ascii="Arial" w:eastAsia="Arial" w:hAnsi="Arial" w:cs="Arial"/>
        </w:rPr>
        <w:t xml:space="preserve">bazą normatywną do ustalenia R, M i S są Katalogi Nakładów Rzeczowych oraz w dalszej kolejności KNP, KNK, normy zakładowe, kalkulacje indywidualne, a w szczególnych przypadkach nakłady rzeczywiste. </w:t>
      </w:r>
    </w:p>
    <w:p w:rsidR="00B642DD" w:rsidRDefault="00B642DD" w:rsidP="00B642DD">
      <w:pPr>
        <w:numPr>
          <w:ilvl w:val="0"/>
          <w:numId w:val="1"/>
        </w:numPr>
        <w:tabs>
          <w:tab w:val="left" w:pos="10206"/>
        </w:tabs>
        <w:spacing w:after="5" w:line="276" w:lineRule="auto"/>
        <w:ind w:right="60" w:hanging="283"/>
        <w:jc w:val="both"/>
      </w:pPr>
      <w:r>
        <w:rPr>
          <w:rFonts w:ascii="Arial" w:eastAsia="Arial" w:hAnsi="Arial" w:cs="Arial"/>
        </w:rPr>
        <w:t xml:space="preserve">materiały: </w:t>
      </w:r>
    </w:p>
    <w:p w:rsidR="00B642DD" w:rsidRDefault="00B642DD" w:rsidP="00B642DD">
      <w:pPr>
        <w:numPr>
          <w:ilvl w:val="1"/>
          <w:numId w:val="1"/>
        </w:numPr>
        <w:tabs>
          <w:tab w:val="left" w:pos="10206"/>
        </w:tabs>
        <w:spacing w:after="5" w:line="276" w:lineRule="auto"/>
        <w:ind w:right="60" w:hanging="283"/>
        <w:jc w:val="both"/>
      </w:pPr>
      <w:r>
        <w:rPr>
          <w:rFonts w:ascii="Arial" w:eastAsia="Arial" w:hAnsi="Arial" w:cs="Arial"/>
        </w:rPr>
        <w:t xml:space="preserve">rodzaj i ilość wg nakładów normatywnych, dokumentacji projektowej, zużycia rzeczywistego, </w:t>
      </w:r>
    </w:p>
    <w:p w:rsidR="00B642DD" w:rsidRDefault="00B642DD" w:rsidP="00B642DD">
      <w:pPr>
        <w:numPr>
          <w:ilvl w:val="1"/>
          <w:numId w:val="1"/>
        </w:numPr>
        <w:tabs>
          <w:tab w:val="left" w:pos="10206"/>
        </w:tabs>
        <w:spacing w:after="5" w:line="276" w:lineRule="auto"/>
        <w:ind w:right="60" w:hanging="283"/>
        <w:jc w:val="both"/>
      </w:pPr>
      <w:r>
        <w:rPr>
          <w:rFonts w:ascii="Arial" w:eastAsia="Arial" w:hAnsi="Arial" w:cs="Arial"/>
        </w:rPr>
        <w:t xml:space="preserve">ceny materiałów - ceny zakupów udokumentowane (na każde żądanie Zamawiającego Wykonawca przedłoży kopie faktury przedstawiającej zakup materiałów bądź wykonanie usługi), nie odbiegające (nieprzewyższające) cen lokalnych rynkowych. </w:t>
      </w:r>
    </w:p>
    <w:p w:rsidR="00B642DD" w:rsidRDefault="00B642DD" w:rsidP="00B642DD">
      <w:pPr>
        <w:numPr>
          <w:ilvl w:val="0"/>
          <w:numId w:val="1"/>
        </w:numPr>
        <w:tabs>
          <w:tab w:val="left" w:pos="10206"/>
        </w:tabs>
        <w:spacing w:after="5" w:line="276" w:lineRule="auto"/>
        <w:ind w:right="60" w:hanging="283"/>
        <w:jc w:val="both"/>
      </w:pPr>
      <w:r>
        <w:rPr>
          <w:rFonts w:ascii="Arial" w:eastAsia="Arial" w:hAnsi="Arial" w:cs="Arial"/>
        </w:rPr>
        <w:t xml:space="preserve">sprzęt - średnie rynkowe ceny najmu sprzętu - zgodnie z cennikiem Sekocenbud z kwartału najbardziej zbliżonego do okresu wykonania robót. Zmiana parametrów sprzętu montażowego w stosunku do przyjętego w KNR - wyłącznie w uzgodnieniu z Kierownika Terminali Paliw, w jednoczesnym uzgodnieniu zmiany bądź akceptacji nakładów jednostkowych. </w:t>
      </w:r>
    </w:p>
    <w:p w:rsidR="00B642DD" w:rsidRDefault="00B642DD" w:rsidP="00B642DD">
      <w:pPr>
        <w:tabs>
          <w:tab w:val="left" w:pos="10206"/>
        </w:tabs>
        <w:spacing w:after="0" w:line="276" w:lineRule="auto"/>
      </w:pPr>
      <w:r>
        <w:rPr>
          <w:rFonts w:ascii="Arial" w:eastAsia="Arial" w:hAnsi="Arial" w:cs="Arial"/>
        </w:rPr>
        <w:t xml:space="preserve"> </w:t>
      </w:r>
    </w:p>
    <w:p w:rsidR="00B642DD" w:rsidRDefault="00B642DD" w:rsidP="00B642DD">
      <w:pPr>
        <w:tabs>
          <w:tab w:val="left" w:pos="10206"/>
        </w:tabs>
        <w:spacing w:after="5" w:line="276" w:lineRule="auto"/>
        <w:ind w:left="-5" w:right="60" w:hanging="10"/>
        <w:jc w:val="both"/>
      </w:pPr>
      <w:r>
        <w:rPr>
          <w:rFonts w:ascii="Arial" w:eastAsia="Arial" w:hAnsi="Arial" w:cs="Arial"/>
        </w:rPr>
        <w:t xml:space="preserve">Ustalenie wysokości wynagrodzenia za wykonane prace i usługi następowało będzie na podstawie negocjacji cenowych, których podstawą będą szczegółowe kosztorysy powykonawcze sporządzone przez Wykonawcę z zastosowaniem uzgodnionych parametrów cenotwórczych i podstaw normatywnych, zweryfikowane przez Zamawiającego. </w:t>
      </w:r>
    </w:p>
    <w:p w:rsidR="00B642DD" w:rsidRDefault="00B642DD" w:rsidP="00B642DD">
      <w:pPr>
        <w:tabs>
          <w:tab w:val="left" w:pos="10206"/>
        </w:tabs>
        <w:spacing w:after="0" w:line="276" w:lineRule="auto"/>
      </w:pPr>
      <w:r>
        <w:rPr>
          <w:rFonts w:ascii="Arial" w:eastAsia="Arial" w:hAnsi="Arial" w:cs="Arial"/>
        </w:rPr>
        <w:t xml:space="preserve"> </w:t>
      </w:r>
    </w:p>
    <w:p w:rsidR="00B642DD" w:rsidRDefault="00B642DD" w:rsidP="00B642DD">
      <w:pPr>
        <w:tabs>
          <w:tab w:val="left" w:pos="10206"/>
        </w:tabs>
        <w:spacing w:after="0" w:line="276" w:lineRule="auto"/>
      </w:pPr>
      <w:r>
        <w:rPr>
          <w:rFonts w:ascii="Arial" w:eastAsia="Arial" w:hAnsi="Arial" w:cs="Arial"/>
        </w:rPr>
        <w:t xml:space="preserve"> </w:t>
      </w:r>
    </w:p>
    <w:p w:rsidR="00B642DD" w:rsidRDefault="00B642DD" w:rsidP="00B642DD">
      <w:pPr>
        <w:tabs>
          <w:tab w:val="left" w:pos="10206"/>
        </w:tabs>
        <w:spacing w:after="0" w:line="276" w:lineRule="auto"/>
      </w:pPr>
      <w:r>
        <w:rPr>
          <w:rFonts w:ascii="Arial" w:eastAsia="Arial" w:hAnsi="Arial" w:cs="Arial"/>
        </w:rPr>
        <w:t xml:space="preserve"> </w:t>
      </w:r>
    </w:p>
    <w:p w:rsidR="00B642DD" w:rsidRDefault="00B642DD" w:rsidP="00B642DD">
      <w:pPr>
        <w:tabs>
          <w:tab w:val="left" w:pos="10206"/>
        </w:tabs>
        <w:spacing w:after="0" w:line="276" w:lineRule="auto"/>
      </w:pPr>
      <w:r>
        <w:rPr>
          <w:rFonts w:ascii="Arial" w:eastAsia="Arial" w:hAnsi="Arial" w:cs="Arial"/>
        </w:rPr>
        <w:t xml:space="preserve"> </w:t>
      </w:r>
    </w:p>
    <w:p w:rsidR="00B642DD" w:rsidRDefault="00B642DD" w:rsidP="00B642DD">
      <w:pPr>
        <w:tabs>
          <w:tab w:val="left" w:pos="10206"/>
        </w:tabs>
        <w:spacing w:after="0" w:line="276" w:lineRule="auto"/>
      </w:pPr>
      <w:r>
        <w:rPr>
          <w:rFonts w:ascii="Arial" w:eastAsia="Arial" w:hAnsi="Arial" w:cs="Arial"/>
        </w:rPr>
        <w:t xml:space="preserve"> </w:t>
      </w:r>
    </w:p>
    <w:p w:rsidR="00B642DD" w:rsidRDefault="00B642DD" w:rsidP="00B642DD">
      <w:pPr>
        <w:tabs>
          <w:tab w:val="left" w:pos="10206"/>
        </w:tabs>
        <w:spacing w:after="0" w:line="276" w:lineRule="auto"/>
      </w:pPr>
      <w:r>
        <w:rPr>
          <w:rFonts w:ascii="Arial" w:eastAsia="Arial" w:hAnsi="Arial" w:cs="Arial"/>
        </w:rPr>
        <w:t xml:space="preserve"> </w:t>
      </w:r>
    </w:p>
    <w:p w:rsidR="00B642DD" w:rsidRDefault="00B642DD" w:rsidP="00B642DD">
      <w:pPr>
        <w:tabs>
          <w:tab w:val="left" w:pos="10206"/>
        </w:tabs>
        <w:spacing w:after="0" w:line="276" w:lineRule="auto"/>
      </w:pPr>
      <w:r>
        <w:rPr>
          <w:rFonts w:ascii="Arial" w:eastAsia="Arial" w:hAnsi="Arial" w:cs="Arial"/>
        </w:rPr>
        <w:t xml:space="preserve"> </w:t>
      </w:r>
    </w:p>
    <w:p w:rsidR="00B642DD" w:rsidRDefault="00B642DD" w:rsidP="00B642DD">
      <w:pPr>
        <w:tabs>
          <w:tab w:val="left" w:pos="10206"/>
        </w:tabs>
        <w:spacing w:after="0" w:line="276" w:lineRule="auto"/>
      </w:pPr>
      <w:r>
        <w:rPr>
          <w:rFonts w:ascii="Arial" w:eastAsia="Arial" w:hAnsi="Arial" w:cs="Arial"/>
        </w:rPr>
        <w:t xml:space="preserve"> </w:t>
      </w:r>
    </w:p>
    <w:p w:rsidR="00B642DD" w:rsidRDefault="00B642DD" w:rsidP="00B642DD">
      <w:pPr>
        <w:tabs>
          <w:tab w:val="left" w:pos="10206"/>
        </w:tabs>
        <w:spacing w:after="0" w:line="276" w:lineRule="auto"/>
      </w:pPr>
      <w:r>
        <w:rPr>
          <w:rFonts w:ascii="Arial" w:eastAsia="Arial" w:hAnsi="Arial" w:cs="Arial"/>
        </w:rPr>
        <w:t xml:space="preserve"> </w:t>
      </w:r>
    </w:p>
    <w:p w:rsidR="00B642DD" w:rsidRDefault="00B642DD" w:rsidP="00B642DD">
      <w:pPr>
        <w:tabs>
          <w:tab w:val="left" w:pos="10206"/>
        </w:tabs>
        <w:spacing w:after="0" w:line="276" w:lineRule="auto"/>
      </w:pPr>
      <w:r>
        <w:rPr>
          <w:rFonts w:ascii="Arial" w:eastAsia="Arial" w:hAnsi="Arial" w:cs="Arial"/>
        </w:rPr>
        <w:t xml:space="preserve"> </w:t>
      </w:r>
    </w:p>
    <w:p w:rsidR="00AC2C92" w:rsidRDefault="00AC2C92"/>
    <w:sectPr w:rsidR="00AC2C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E52205"/>
    <w:multiLevelType w:val="hybridMultilevel"/>
    <w:tmpl w:val="A35EF0F6"/>
    <w:lvl w:ilvl="0" w:tplc="B4CCA20E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66EA284">
      <w:start w:val="1"/>
      <w:numFmt w:val="bullet"/>
      <w:lvlText w:val="-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D5E9BCA">
      <w:start w:val="1"/>
      <w:numFmt w:val="bullet"/>
      <w:lvlText w:val="▪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625F26">
      <w:start w:val="1"/>
      <w:numFmt w:val="bullet"/>
      <w:lvlText w:val="•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E5482A6">
      <w:start w:val="1"/>
      <w:numFmt w:val="bullet"/>
      <w:lvlText w:val="o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460052">
      <w:start w:val="1"/>
      <w:numFmt w:val="bullet"/>
      <w:lvlText w:val="▪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BBE3A8A">
      <w:start w:val="1"/>
      <w:numFmt w:val="bullet"/>
      <w:lvlText w:val="•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2C422BE">
      <w:start w:val="1"/>
      <w:numFmt w:val="bullet"/>
      <w:lvlText w:val="o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1F85C70">
      <w:start w:val="1"/>
      <w:numFmt w:val="bullet"/>
      <w:lvlText w:val="▪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2DD"/>
    <w:rsid w:val="00347DD5"/>
    <w:rsid w:val="00AC2C92"/>
    <w:rsid w:val="00B64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5341B"/>
  <w15:chartTrackingRefBased/>
  <w15:docId w15:val="{B1F23865-16E1-4A63-BDE5-CFB732F4D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42DD"/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Tomaszewska Magdalena (PKN)</dc:creator>
  <cp:keywords/>
  <dc:description/>
  <cp:lastModifiedBy>Tomaszewska Magdalena (PKN)</cp:lastModifiedBy>
  <cp:revision>3</cp:revision>
  <dcterms:created xsi:type="dcterms:W3CDTF">2025-07-23T08:20:00Z</dcterms:created>
  <dcterms:modified xsi:type="dcterms:W3CDTF">2025-07-24T06:52:00Z</dcterms:modified>
</cp:coreProperties>
</file>